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7.png" ContentType="image/png"/>
  <Override PartName="/word/media/rId225.png" ContentType="image/png"/>
  <Override PartName="/word/media/rId236.png" ContentType="image/png"/>
  <Override PartName="/word/media/rId233.png" ContentType="image/png"/>
  <Override PartName="/word/media/rId240.png" ContentType="image/png"/>
  <Override PartName="/word/media/rId243.png" ContentType="image/png"/>
  <Override PartName="/word/media/rId60.png" ContentType="image/png"/>
  <Override PartName="/word/media/rId167.png" ContentType="image/png"/>
  <Override PartName="/word/media/rId41.png" ContentType="image/png"/>
  <Override PartName="/word/media/rId270.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74"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pPr>
          </w:p>
        </w:tc>
      </w:tr>
    </w:tbl>
    <w:p>
      <w:pPr>
        <w:pStyle w:val="Textoindependiente"/>
      </w:pPr>
    </w:p>
    <w:bookmarkEnd w:id="239"/>
    <w:bookmarkStart w:id="246"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1" name="Picture"/>
            <a:graphic>
              <a:graphicData uri="http://schemas.openxmlformats.org/drawingml/2006/picture">
                <pic:pic>
                  <pic:nvPicPr>
                    <pic:cNvPr descr="images/conclusiones-5.png" id="242"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44" name="Picture"/>
            <a:graphic>
              <a:graphicData uri="http://schemas.openxmlformats.org/drawingml/2006/picture">
                <pic:pic>
                  <pic:nvPicPr>
                    <pic:cNvPr descr="images/conclusiones-6.png" id="245" name="Picture"/>
                    <pic:cNvPicPr>
                      <a:picLocks noChangeArrowheads="1" noChangeAspect="1"/>
                    </pic:cNvPicPr>
                  </pic:nvPicPr>
                  <pic:blipFill>
                    <a:blip r:embed="rId243"/>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pPr>
          </w:p>
        </w:tc>
      </w:tr>
    </w:tbl>
    <w:p>
      <w:pPr>
        <w:pStyle w:val="Textoindependiente"/>
      </w:pPr>
    </w:p>
    <w:bookmarkEnd w:id="246"/>
    <w:bookmarkStart w:id="25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0"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8" name="Picture"/>
            <a:graphic>
              <a:graphicData uri="http://schemas.openxmlformats.org/drawingml/2006/picture">
                <pic:pic>
                  <pic:nvPicPr>
                    <pic:cNvPr descr="images/catalogoaplicaciones.png" id="249"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0"/>
    <w:bookmarkStart w:id="252"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pPr>
          </w:p>
        </w:tc>
      </w:tr>
    </w:tbl>
    <w:p>
      <w:pPr>
        <w:pStyle w:val="Textoindependiente"/>
      </w:pPr>
    </w:p>
    <w:bookmarkEnd w:id="252"/>
    <w:bookmarkEnd w:id="253"/>
    <w:bookmarkStart w:id="26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7" name="Picture"/>
            <a:graphic>
              <a:graphicData uri="http://schemas.openxmlformats.org/drawingml/2006/picture">
                <pic:pic>
                  <pic:nvPicPr>
                    <pic:cNvPr descr="images/VistaPortafolio-CatalogoServiciosFNA.1.png" id="25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1" name="Picture"/>
            <a:graphic>
              <a:graphicData uri="http://schemas.openxmlformats.org/drawingml/2006/picture">
                <pic:pic>
                  <pic:nvPicPr>
                    <pic:cNvPr descr="images/vistafuncional.png" id="262"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3"/>
    <w:bookmarkStart w:id="268"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4">
        <w:r>
          <w:rPr>
            <w:rStyle w:val="Hipervnculo"/>
          </w:rPr>
          <w:t xml:space="preserve">Resultado Diagnóstico Situación Actual-3</w:t>
        </w:r>
      </w:hyperlink>
      <w:r>
        <w:t xml:space="preserve">, la prevalencia del enfoque ascendente (desde el provedor hacia negocio)</w:t>
      </w:r>
      <w:r>
        <w:t xml:space="preserve"> </w:t>
      </w:r>
      <w:hyperlink r:id="rId265">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6" name="Picture"/>
            <a:graphic>
              <a:graphicData uri="http://schemas.openxmlformats.org/drawingml/2006/picture">
                <pic:pic>
                  <pic:nvPicPr>
                    <pic:cNvPr descr="images/vistafuncional.png" id="267"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8"/>
    <w:bookmarkStart w:id="269"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9"/>
    <w:bookmarkStart w:id="273"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1" name="Picture"/>
            <a:graphic>
              <a:graphicData uri="http://schemas.openxmlformats.org/drawingml/2006/picture">
                <pic:pic>
                  <pic:nvPicPr>
                    <pic:cNvPr descr="images/libreria.png" id="272" name="Picture"/>
                    <pic:cNvPicPr>
                      <a:picLocks noChangeArrowheads="1" noChangeAspect="1"/>
                    </pic:cNvPicPr>
                  </pic:nvPicPr>
                  <pic:blipFill>
                    <a:blip r:embed="rId270"/>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3"/>
    <w:bookmarkEnd w:id="274"/>
    <w:bookmarkStart w:id="275" w:name="fase-1-estado-soa-actual-3"/>
    <w:p>
      <w:pPr>
        <w:pStyle w:val="Ttulo1"/>
      </w:pPr>
      <w:r>
        <w:t xml:space="preserve">Fase 1: Estado SOA Actual</w:t>
      </w:r>
    </w:p>
    <w:bookmarkEnd w:id="275"/>
    <w:bookmarkStart w:id="276" w:name="Xde28353806a99316a61e306cd812fd556109b6d"/>
    <w:p>
      <w:pPr>
        <w:pStyle w:val="Ttulo1"/>
      </w:pPr>
      <w:r>
        <w:t xml:space="preserve">Contenido de los Productos Contractuales, 181-2020</w:t>
      </w:r>
    </w:p>
    <w:bookmarkEnd w:id="276"/>
    <w:bookmarkStart w:id="301"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7"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7"/>
    <w:bookmarkStart w:id="278"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8"/>
    <w:bookmarkStart w:id="279"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pPr>
          </w:p>
        </w:tc>
      </w:tr>
    </w:tbl>
    <w:p>
      <w:pPr>
        <w:pStyle w:val="Textoindependiente"/>
      </w:pPr>
    </w:p>
    <w:bookmarkEnd w:id="279"/>
    <w:bookmarkStart w:id="283" w:name="X425fbde9b319b03cbe8571108292e8c36154b36"/>
    <w:p>
      <w:pPr>
        <w:pStyle w:val="Ttulo2"/>
      </w:pPr>
      <w:r>
        <w:t xml:space="preserve">N001. Marco de interoperabilidad para Gobierno Digital</w:t>
      </w:r>
    </w:p>
    <w:bookmarkStart w:id="280" w:name="año-2019"/>
    <w:p>
      <w:pPr>
        <w:pStyle w:val="Ttulo3"/>
      </w:pPr>
      <w:r>
        <w:t xml:space="preserve">Año: 2019</w:t>
      </w:r>
    </w:p>
    <w:p>
      <w:pPr>
        <w:pStyle w:val="FirstParagraph"/>
      </w:pPr>
    </w:p>
    <w:bookmarkEnd w:id="280"/>
    <w:bookmarkStart w:id="281"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81"/>
    <w:bookmarkStart w:id="282"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2"/>
    <w:bookmarkEnd w:id="283"/>
    <w:bookmarkStart w:id="287" w:name="X1a74e3e9e30a7a43d55795b3b165d6576bc391d"/>
    <w:p>
      <w:pPr>
        <w:pStyle w:val="Ttulo2"/>
      </w:pPr>
      <w:r>
        <w:t xml:space="preserve">N002. Guía de Uso del Lenguaje Común de Intercambio de Información y Conceptos Generales</w:t>
      </w:r>
    </w:p>
    <w:bookmarkStart w:id="284" w:name="año-2019-1"/>
    <w:p>
      <w:pPr>
        <w:pStyle w:val="Ttulo3"/>
      </w:pPr>
      <w:r>
        <w:t xml:space="preserve">Año: 2019</w:t>
      </w:r>
    </w:p>
    <w:p>
      <w:pPr>
        <w:pStyle w:val="FirstParagraph"/>
      </w:pPr>
    </w:p>
    <w:bookmarkEnd w:id="284"/>
    <w:bookmarkStart w:id="285"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5"/>
    <w:bookmarkStart w:id="286"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6"/>
    <w:bookmarkEnd w:id="287"/>
    <w:bookmarkStart w:id="291" w:name="X20a8ca987249a8286ab2bc24ee6f36d419e998b"/>
    <w:p>
      <w:pPr>
        <w:pStyle w:val="Ttulo2"/>
      </w:pPr>
      <w:r>
        <w:t xml:space="preserve">N003. Guía Técnica de Información - Gobierno del dato</w:t>
      </w:r>
    </w:p>
    <w:bookmarkStart w:id="288" w:name="año-2019-2"/>
    <w:p>
      <w:pPr>
        <w:pStyle w:val="Ttulo3"/>
      </w:pPr>
      <w:r>
        <w:t xml:space="preserve">Año: 2019</w:t>
      </w:r>
    </w:p>
    <w:p>
      <w:pPr>
        <w:pStyle w:val="FirstParagraph"/>
      </w:pPr>
    </w:p>
    <w:bookmarkEnd w:id="288"/>
    <w:bookmarkStart w:id="289"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9"/>
    <w:bookmarkStart w:id="290"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0"/>
    <w:bookmarkEnd w:id="291"/>
    <w:bookmarkStart w:id="295" w:name="n004.-isoiec-18384-1"/>
    <w:p>
      <w:pPr>
        <w:pStyle w:val="Ttulo2"/>
      </w:pPr>
      <w:r>
        <w:t xml:space="preserve">N004. ISO/IEC 18384-1</w:t>
      </w:r>
    </w:p>
    <w:bookmarkStart w:id="292" w:name="año-2016"/>
    <w:p>
      <w:pPr>
        <w:pStyle w:val="Ttulo3"/>
      </w:pPr>
      <w:r>
        <w:t xml:space="preserve">Año: 2016</w:t>
      </w:r>
    </w:p>
    <w:p>
      <w:pPr>
        <w:pStyle w:val="FirstParagraph"/>
      </w:pPr>
    </w:p>
    <w:bookmarkEnd w:id="292"/>
    <w:bookmarkStart w:id="29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93"/>
    <w:bookmarkStart w:id="29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4"/>
    <w:bookmarkEnd w:id="295"/>
    <w:bookmarkStart w:id="299" w:name="n005.-xxxxx"/>
    <w:p>
      <w:pPr>
        <w:pStyle w:val="Ttulo2"/>
      </w:pPr>
      <w:r>
        <w:t xml:space="preserve">N005. XXXXX</w:t>
      </w:r>
    </w:p>
    <w:bookmarkStart w:id="296" w:name="año-yyyy"/>
    <w:p>
      <w:pPr>
        <w:pStyle w:val="Ttulo3"/>
      </w:pPr>
      <w:r>
        <w:t xml:space="preserve">Año: YYYY</w:t>
      </w:r>
    </w:p>
    <w:p>
      <w:pPr>
        <w:pStyle w:val="FirstParagraph"/>
      </w:pPr>
    </w:p>
    <w:bookmarkEnd w:id="296"/>
    <w:bookmarkStart w:id="297" w:name="justificación-8"/>
    <w:p>
      <w:pPr>
        <w:pStyle w:val="Ttulo3"/>
      </w:pPr>
      <w:r>
        <w:t xml:space="preserve">Justificación</w:t>
      </w:r>
    </w:p>
    <w:p>
      <w:pPr>
        <w:pStyle w:val="FirstParagraph"/>
      </w:pPr>
      <w:r>
        <w:t xml:space="preserve">…</w:t>
      </w:r>
    </w:p>
    <w:bookmarkEnd w:id="297"/>
    <w:bookmarkStart w:id="298"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8"/>
    <w:bookmarkEnd w:id="299"/>
    <w:bookmarkStart w:id="300"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0134ba0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00"/>
    <w:bookmarkEnd w:id="301"/>
    <w:bookmarkStart w:id="323" w:name="X0d3e4703b7a431296101dfd2ed87ae283a6c75d"/>
    <w:p>
      <w:pPr>
        <w:pStyle w:val="Ttulo1"/>
      </w:pPr>
      <w:r>
        <w:t xml:space="preserve">Tabla de Conclusiones Relevantes del Diagnóstico SOA FNA</w:t>
      </w:r>
    </w:p>
    <w:bookmarkStart w:id="302"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rPr>
                <w:bCs/>
                <w:b/>
              </w:rPr>
              <w:t xml:space="preserve">Ámbito</w:t>
            </w:r>
          </w:p>
        </w:tc>
        <w:tc>
          <w:tcPr/>
          <w:p>
            <w:pPr>
              <w:pStyle w:val="Compact"/>
              <w:jc w:val="left"/>
            </w:pPr>
            <w:r>
              <w:rPr>
                <w:bCs/>
                <w:b/>
              </w:rP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p>
        </w:tc>
      </w:tr>
      <w:tr>
        <w:tc>
          <w:tcPr/>
          <w:p>
            <w:pPr>
              <w:pStyle w:val="Compact"/>
            </w:pPr>
          </w:p>
        </w:tc>
        <w:tc>
          <w:tcPr/>
          <w:p>
            <w:pPr>
              <w:pStyle w:val="Compact"/>
              <w:jc w:val="left"/>
            </w:pPr>
            <w:r>
              <w:t xml:space="preserve">- Alineación Mediante Clasificación del Portafolio de Servicios SOA del FNA</w:t>
            </w:r>
          </w:p>
        </w:tc>
      </w:tr>
      <w:tr>
        <w:tc>
          <w:tcPr/>
          <w:p>
            <w:pPr>
              <w:pStyle w:val="Compact"/>
              <w:jc w:val="left"/>
            </w:pPr>
            <w:r>
              <w:t xml:space="preserve">————</w:t>
            </w:r>
          </w:p>
        </w:tc>
        <w:tc>
          <w:tcPr/>
          <w:p>
            <w:pPr>
              <w:pStyle w:val="Compact"/>
              <w:jc w:val="left"/>
            </w:pPr>
            <w:r>
              <w:t xml:space="preserve">—————————————————————————–</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w:t>
            </w:r>
          </w:p>
        </w:tc>
        <w:tc>
          <w:tcPr/>
          <w:p>
            <w:pPr>
              <w:pStyle w:val="Compact"/>
              <w:jc w:val="left"/>
            </w:pPr>
            <w:r>
              <w:t xml:space="preserve">—————————————————————————–</w:t>
            </w:r>
          </w:p>
        </w:tc>
      </w:tr>
      <w:tr>
        <w:tc>
          <w:tcPr/>
          <w:p>
            <w:pPr>
              <w:pStyle w:val="Compact"/>
              <w:jc w:val="left"/>
            </w:pPr>
            <w:r>
              <w:t xml:space="preserve">Gobierno SOA</w:t>
            </w:r>
          </w:p>
        </w:tc>
        <w:tc>
          <w:tcPr/>
          <w:p>
            <w:pPr>
              <w:pStyle w:val="Compact"/>
              <w:jc w:val="left"/>
            </w:pPr>
            <w:r>
              <w:t xml:space="preserve">- Riesgo de Inefectividad Tecnológica (versus beneficios SOA)</w:t>
            </w:r>
          </w:p>
        </w:tc>
      </w:tr>
      <w:tr>
        <w:tc>
          <w:tcPr/>
          <w:p>
            <w:pPr>
              <w:pStyle w:val="Compact"/>
            </w:pPr>
          </w:p>
        </w:tc>
        <w:tc>
          <w:tcPr/>
          <w:p>
            <w:pPr>
              <w:pStyle w:val="Compact"/>
              <w:jc w:val="left"/>
            </w:pPr>
            <w:r>
              <w:t xml:space="preserve">- Riesgo de Vigilancia de Soluciones SOA (versus beneficios SOA)</w:t>
            </w:r>
          </w:p>
        </w:tc>
      </w:tr>
      <w:tr>
        <w:tc>
          <w:tcPr/>
          <w:p>
            <w:pPr>
              <w:pStyle w:val="Compact"/>
              <w:jc w:val="left"/>
            </w:pPr>
            <w:r>
              <w:t xml:space="preserve">————</w:t>
            </w:r>
          </w:p>
        </w:tc>
        <w:tc>
          <w:tcPr/>
          <w:p>
            <w:pPr>
              <w:pStyle w:val="Compact"/>
              <w:jc w:val="left"/>
            </w:pPr>
            <w:r>
              <w:t xml:space="preserve">—————————————————————————–</w:t>
            </w:r>
          </w:p>
        </w:tc>
      </w:tr>
      <w:tr>
        <w:tc>
          <w:tcPr/>
          <w:p>
            <w:pPr>
              <w:pStyle w:val="Compact"/>
              <w:jc w:val="left"/>
            </w:pPr>
            <w:r>
              <w:t xml:space="preserve">SOA</w:t>
            </w:r>
          </w:p>
        </w:tc>
        <w:tc>
          <w:tcPr/>
          <w:p>
            <w:pPr>
              <w:pStyle w:val="Compact"/>
              <w:jc w:val="left"/>
            </w:pPr>
            <w:r>
              <w:t xml:space="preserve">- Análisis de las Fortalezas SOA del FNA</w:t>
            </w:r>
          </w:p>
        </w:tc>
      </w:tr>
      <w:tr>
        <w:tc>
          <w:tcPr/>
          <w:p>
            <w:pPr>
              <w:pStyle w:val="Compact"/>
            </w:pPr>
          </w:p>
        </w:tc>
        <w:tc>
          <w:tcPr/>
          <w:p>
            <w:pPr>
              <w:pStyle w:val="Compact"/>
              <w:jc w:val="left"/>
            </w:pPr>
            <w:r>
              <w:t xml:space="preserve">- Interdependencias del Portafolio FNA</w:t>
            </w:r>
          </w:p>
        </w:tc>
      </w:tr>
      <w:tr>
        <w:tc>
          <w:tcPr/>
          <w:p>
            <w:pPr>
              <w:pStyle w:val="Compact"/>
              <w:jc w:val="left"/>
            </w:pPr>
            <w:r>
              <w:t xml:space="preserve">————</w:t>
            </w:r>
          </w:p>
        </w:tc>
        <w:tc>
          <w:tcPr/>
          <w:p>
            <w:pPr>
              <w:pStyle w:val="Compact"/>
              <w:jc w:val="left"/>
            </w:pPr>
            <w:r>
              <w:t xml:space="preserve">—————————————————————————–</w:t>
            </w:r>
          </w:p>
        </w:tc>
      </w:tr>
    </w:tbl>
    <w:p>
      <w:pPr>
        <w:pStyle w:val="Textoindependiente"/>
      </w:pPr>
    </w:p>
    <w:tbl>
      <w:tblPr>
        <w:tblStyle w:val="Table"/>
        <w:tblW w:type="pct" w:w="3681"/>
        <w:tblLook w:firstRow="1" w:lastRow="0" w:firstColumn="0" w:lastColumn="0" w:noHBand="0" w:noVBand="0" w:val="0020"/>
      </w:tblPr>
      <w:tblGrid>
        <w:gridCol w:w="1760"/>
        <w:gridCol w:w="1760"/>
        <w:gridCol w:w="2310"/>
      </w:tblGrid>
      <w:tr>
        <w:trPr>
          <w:tblHeader w:val="true"/>
        </w:trPr>
        <w:tc>
          <w:tcPr/>
          <w:p>
            <w:pPr>
              <w:pStyle w:val="Compact"/>
              <w:jc w:val="left"/>
            </w:pPr>
            <w:r>
              <w:t xml:space="preserve">Fruit</w:t>
            </w:r>
          </w:p>
        </w:tc>
        <w:tc>
          <w:tcPr/>
          <w:p>
            <w:pPr>
              <w:pStyle w:val="Compact"/>
              <w:jc w:val="left"/>
            </w:pPr>
            <w:r>
              <w:t xml:space="preserve">Price</w:t>
            </w:r>
          </w:p>
        </w:tc>
        <w:tc>
          <w:tcPr/>
          <w:p>
            <w:pPr>
              <w:pStyle w:val="Compact"/>
              <w:jc w:val="left"/>
            </w:pPr>
            <w:r>
              <w:t xml:space="preserve">Advantages</w:t>
            </w:r>
          </w:p>
        </w:tc>
      </w:tr>
      <w:tr>
        <w:tc>
          <w:tcPr/>
          <w:p>
            <w:pPr>
              <w:pStyle w:val="Compact"/>
              <w:jc w:val="left"/>
            </w:pPr>
            <w:r>
              <w:t xml:space="preserve">Bananas</w:t>
            </w:r>
          </w:p>
        </w:tc>
        <w:tc>
          <w:tcPr/>
          <w:p>
            <w:pPr>
              <w:pStyle w:val="Compact"/>
              <w:jc w:val="left"/>
            </w:pPr>
            <w:r>
              <w:t xml:space="preserve">$1.34</w:t>
            </w:r>
          </w:p>
        </w:tc>
        <w:tc>
          <w:tcPr/>
          <w:p>
            <w:pPr>
              <w:numPr>
                <w:ilvl w:val="0"/>
                <w:numId w:val="1036"/>
              </w:numPr>
              <w:pStyle w:val="Compact"/>
              <w:jc w:val="left"/>
            </w:pPr>
            <w:r>
              <w:t xml:space="preserve">built-in wrapper</w:t>
            </w:r>
          </w:p>
          <w:p>
            <w:pPr>
              <w:numPr>
                <w:ilvl w:val="0"/>
                <w:numId w:val="1036"/>
              </w:numPr>
              <w:pStyle w:val="Compact"/>
              <w:jc w:val="left"/>
            </w:pPr>
            <w:r>
              <w:t xml:space="preserve">bright color</w:t>
            </w:r>
          </w:p>
        </w:tc>
      </w:tr>
      <w:tr>
        <w:tc>
          <w:tcPr/>
          <w:p>
            <w:pPr>
              <w:pStyle w:val="Compact"/>
              <w:jc w:val="left"/>
            </w:pPr>
            <w:r>
              <w:t xml:space="preserve">Oranges</w:t>
            </w:r>
          </w:p>
        </w:tc>
        <w:tc>
          <w:tcPr/>
          <w:p>
            <w:pPr>
              <w:pStyle w:val="Compact"/>
              <w:jc w:val="left"/>
            </w:pPr>
            <w:r>
              <w:t xml:space="preserve">$2.10</w:t>
            </w:r>
          </w:p>
        </w:tc>
        <w:tc>
          <w:tcPr/>
          <w:p>
            <w:pPr>
              <w:numPr>
                <w:ilvl w:val="0"/>
                <w:numId w:val="1037"/>
              </w:numPr>
              <w:pStyle w:val="Compact"/>
              <w:jc w:val="left"/>
            </w:pPr>
            <w:r>
              <w:t xml:space="preserve">cures scurvy</w:t>
            </w:r>
          </w:p>
          <w:p>
            <w:pPr>
              <w:numPr>
                <w:ilvl w:val="0"/>
                <w:numId w:val="1037"/>
              </w:numPr>
              <w:pStyle w:val="Compact"/>
              <w:jc w:val="left"/>
            </w:pPr>
            <w:r>
              <w:t xml:space="preserve">tasty</w:t>
            </w:r>
          </w:p>
        </w:tc>
      </w:tr>
    </w:tbl>
    <w:p>
      <w:pPr>
        <w:pStyle w:val="FirstParagraph"/>
      </w:pPr>
    </w:p>
    <w:bookmarkEnd w:id="302"/>
    <w:bookmarkStart w:id="305"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03" name="Picture"/>
            <a:graphic>
              <a:graphicData uri="http://schemas.openxmlformats.org/drawingml/2006/picture">
                <pic:pic>
                  <pic:nvPicPr>
                    <pic:cNvPr descr="images/conclusiones-2.png" id="304"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05"/>
    <w:bookmarkStart w:id="306"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306"/>
    <w:bookmarkStart w:id="307"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07"/>
    <w:bookmarkStart w:id="310"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08" name="Picture"/>
            <a:graphic>
              <a:graphicData uri="http://schemas.openxmlformats.org/drawingml/2006/picture">
                <pic:pic>
                  <pic:nvPicPr>
                    <pic:cNvPr descr="images/conclusiones-5.png" id="309"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10"/>
    <w:bookmarkStart w:id="315"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13"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11" name="Picture"/>
            <a:graphic>
              <a:graphicData uri="http://schemas.openxmlformats.org/drawingml/2006/picture">
                <pic:pic>
                  <pic:nvPicPr>
                    <pic:cNvPr descr="images/catalogoaplicaciones.png" id="312"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13"/>
    <w:bookmarkStart w:id="314"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14"/>
    <w:bookmarkEnd w:id="315"/>
    <w:bookmarkStart w:id="321"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16"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16"/>
    <w:bookmarkStart w:id="319"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17" name="Picture"/>
            <a:graphic>
              <a:graphicData uri="http://schemas.openxmlformats.org/drawingml/2006/picture">
                <pic:pic>
                  <pic:nvPicPr>
                    <pic:cNvPr descr="images/VistaPortafolio-CatalogoServiciosFNA.1.png" id="31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19"/>
    <w:bookmarkStart w:id="320"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20"/>
    <w:bookmarkEnd w:id="321"/>
    <w:bookmarkStart w:id="322"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22"/>
    <w:bookmarkEnd w:id="32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7" Target="media/rId247.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70" Target="media/rId270.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2023-01-17T16:33:34Z</dcterms:created>
  <dcterms:modified xsi:type="dcterms:W3CDTF">2023-01-17T16:33:34Z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